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2FCF" w:rsidP="00BE54B8" w:rsidRDefault="00995D22" w14:paraId="5F4BCD4D" w14:textId="7777777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LIMBA ROMÂNĂ </w:t>
      </w:r>
      <w:r w:rsidR="00372FCF">
        <w:rPr>
          <w:rFonts w:ascii="Times New Roman" w:hAnsi="Times New Roman"/>
          <w:b/>
          <w:caps/>
          <w:sz w:val="24"/>
          <w:szCs w:val="24"/>
        </w:rPr>
        <w:t>– ORTOGRAFIE ȘI ORTOEPIE</w:t>
      </w:r>
    </w:p>
    <w:p w:rsidRPr="00815C58" w:rsidR="00D71595" w:rsidP="00BE54B8" w:rsidRDefault="00BA7CC6" w14:paraId="0E6DA6F4" w14:textId="6A8DDC5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294C803C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7B5BB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Câmpulung/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2DD1">
              <w:rPr>
                <w:rFonts w:ascii="Times New Roman" w:hAnsi="Times New Roman"/>
                <w:sz w:val="24"/>
                <w:szCs w:val="24"/>
              </w:rPr>
              <w:t>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008D0DB9" w14:paraId="57E36C1D" w14:textId="77777777">
        <w:tc>
          <w:tcPr>
            <w:tcW w:w="2846" w:type="dxa"/>
            <w:gridSpan w:val="3"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:rsidRPr="00CF66B7" w:rsidR="001F003F" w:rsidP="00BE54B8" w:rsidRDefault="00995D22" w14:paraId="3996590F" w14:textId="06A52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ROMÂNĂ</w:t>
            </w:r>
            <w:r w:rsidR="00372FCF">
              <w:rPr>
                <w:rFonts w:ascii="Times New Roman" w:hAnsi="Times New Roman"/>
                <w:sz w:val="24"/>
                <w:szCs w:val="24"/>
              </w:rPr>
              <w:t>– ORTOGRAFIE ȘI ORTOEPIE</w:t>
            </w:r>
          </w:p>
        </w:tc>
      </w:tr>
      <w:tr w:rsidRPr="0007194F" w:rsidR="00FD0711" w:rsidTr="008D0DB9" w14:paraId="3B211D2A" w14:textId="77777777">
        <w:tc>
          <w:tcPr>
            <w:tcW w:w="4449" w:type="dxa"/>
            <w:gridSpan w:val="5"/>
          </w:tcPr>
          <w:p w:rsidRPr="00085094" w:rsidR="00FD0711" w:rsidP="000B3BD0" w:rsidRDefault="00FD0711" w14:paraId="4AB7824E" w14:textId="7BD09FF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:rsidRPr="0007194F" w:rsidR="00FD0711" w:rsidP="000B3BD0" w:rsidRDefault="00995D22" w14:paraId="7D0EC825" w14:textId="019CC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Geantă Adriana-E</w:t>
            </w:r>
            <w:r w:rsidR="00D464E3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ena, Bucuroiu Florentina, </w:t>
            </w:r>
          </w:p>
        </w:tc>
      </w:tr>
      <w:tr w:rsidRPr="0007194F" w:rsidR="00032DD1" w:rsidTr="008D0DB9" w14:paraId="4C0392E2" w14:textId="77777777">
        <w:tc>
          <w:tcPr>
            <w:tcW w:w="4449" w:type="dxa"/>
            <w:gridSpan w:val="5"/>
          </w:tcPr>
          <w:p w:rsidRPr="00085094" w:rsidR="00032DD1" w:rsidP="00032DD1" w:rsidRDefault="00032DD1" w14:paraId="0068B97D" w14:textId="6445D94E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:rsidRPr="0007194F" w:rsidR="00032DD1" w:rsidP="00032DD1" w:rsidRDefault="00995D22" w14:paraId="4CA0B319" w14:textId="76082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Geantă Adriana-E</w:t>
            </w:r>
            <w:r w:rsidR="00D464E3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ena, Bucuroiu Florentina, </w:t>
            </w:r>
          </w:p>
        </w:tc>
      </w:tr>
      <w:tr w:rsidRPr="0007194F" w:rsidR="00032DD1" w:rsidTr="008D0DB9" w14:paraId="3BE3C0BE" w14:textId="77777777">
        <w:tc>
          <w:tcPr>
            <w:tcW w:w="1980" w:type="dxa"/>
          </w:tcPr>
          <w:p w:rsidRPr="00251256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:rsidRPr="00251256" w:rsidR="00032DD1" w:rsidP="00032DD1" w:rsidRDefault="00C82769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Pr="00251256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:rsidRPr="00251256" w:rsidR="00032DD1" w:rsidP="00032DD1" w:rsidRDefault="00C82769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:rsidRPr="00251256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:rsidRPr="00372FCF" w:rsidR="00032DD1" w:rsidP="00032DD1" w:rsidRDefault="00372FCF" w14:paraId="5453D953" w14:textId="54766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:rsidRPr="00372FC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:rsidRPr="00372FCF" w:rsidR="00032DD1" w:rsidP="00032DD1" w:rsidRDefault="00995D22" w14:paraId="38374877" w14:textId="2AE1C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O</w:t>
            </w:r>
            <w:r w:rsidRPr="00372FCF" w:rsidR="00372FC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Pr="00C116E4" w:rsidR="00032DD1" w:rsidTr="008D0DB9" w14:paraId="14E46E6F" w14:textId="24CDA01A">
        <w:tc>
          <w:tcPr>
            <w:tcW w:w="2547" w:type="dxa"/>
            <w:gridSpan w:val="2"/>
          </w:tcPr>
          <w:p w:rsidRPr="00372FC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:rsidRPr="00372FC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2FC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</w:tcPr>
          <w:p w:rsidRPr="00372FC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:rsidRPr="008C171E" w:rsidR="00032DD1" w:rsidP="00032DD1" w:rsidRDefault="00961671" w14:paraId="7F83CE32" w14:textId="5BD30463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UPB.21.S.02.A.030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7DB3CF51" w14:textId="1F3AC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CF66B7" w14:paraId="11765071" w14:textId="697BD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794B634A" w14:textId="4E075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524180" w14:paraId="46F27A35" w14:textId="1A8B9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43EB485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C82B6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FE11A6" w14:paraId="34001936" w14:textId="78C68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0B3BD0" w:rsidRDefault="00961671" w14:paraId="1D9736A9" w14:textId="741F3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0B3BD0" w:rsidRDefault="00961671" w14:paraId="43E19057" w14:textId="440C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A8092B" w14:paraId="07034853" w14:textId="1F26A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FE11A6" w14:paraId="50E327D1" w14:textId="19651F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FE11A6" w14:paraId="0E134E17" w14:textId="7E2CF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FE11A6" w14:paraId="32F2FDA1" w14:textId="4F79AC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C82B6F" w:rsidR="00B609FA" w:rsidP="00F477A0" w:rsidRDefault="00F477A0" w14:paraId="2F95B643" w14:textId="561726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Pentru parcurgerea cu succes a disciplinei</w:t>
            </w:r>
            <w:r w:rsidRPr="00C82B6F" w:rsidR="00995D22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 xml:space="preserve"> – Ortografie și Ortoepie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cunoștințe de bază din domeniul </w:t>
            </w:r>
            <w:r w:rsidRPr="00C82B6F" w:rsidR="00C82B6F">
              <w:rPr>
                <w:rFonts w:ascii="Times New Roman" w:hAnsi="Times New Roman"/>
                <w:sz w:val="24"/>
                <w:szCs w:val="24"/>
              </w:rPr>
              <w:t xml:space="preserve">foneticii, ortografiei, ortoepiei și punctuației </w:t>
            </w:r>
            <w:r w:rsidRPr="00C82B6F" w:rsidR="00995D22">
              <w:rPr>
                <w:rFonts w:ascii="Times New Roman" w:hAnsi="Times New Roman"/>
                <w:sz w:val="24"/>
                <w:szCs w:val="24"/>
              </w:rPr>
              <w:t xml:space="preserve">limbii române. 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>Ace</w:t>
            </w:r>
            <w:r w:rsidRPr="00C82B6F"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B6F">
              <w:rPr>
                <w:rFonts w:ascii="Times New Roman" w:hAnsi="Times New Roman"/>
                <w:sz w:val="24"/>
                <w:szCs w:val="24"/>
              </w:rPr>
              <w:lastRenderedPageBreak/>
              <w:t>disciplin</w:t>
            </w:r>
            <w:r w:rsidRPr="00C82B6F"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Pr="00C82B6F" w:rsidR="00B5527C">
              <w:rPr>
                <w:rFonts w:ascii="Times New Roman" w:hAnsi="Times New Roman"/>
                <w:sz w:val="24"/>
                <w:szCs w:val="24"/>
              </w:rPr>
              <w:t xml:space="preserve"> noțiunilor de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 xml:space="preserve"> fonetică,</w:t>
            </w:r>
            <w:r w:rsidRPr="00C82B6F"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B6F" w:rsidR="00372FC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C82B6F" w:rsidR="00B5527C">
              <w:rPr>
                <w:rFonts w:ascii="Times New Roman" w:hAnsi="Times New Roman"/>
                <w:sz w:val="24"/>
                <w:szCs w:val="24"/>
              </w:rPr>
              <w:t>vocabular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82B6F" w:rsidR="00372FC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 xml:space="preserve">ortografie și </w:t>
            </w:r>
            <w:r w:rsidRPr="00C82B6F" w:rsidR="00372FC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>ortoepie</w:t>
            </w:r>
            <w:r w:rsidRPr="00C82B6F" w:rsidR="00B5527C">
              <w:rPr>
                <w:rFonts w:ascii="Times New Roman" w:hAnsi="Times New Roman"/>
                <w:sz w:val="24"/>
                <w:szCs w:val="24"/>
              </w:rPr>
              <w:t xml:space="preserve"> studiate în ciclul gimnazial și liceal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>fonetica, ortografia</w:t>
            </w:r>
            <w:r w:rsidRPr="00C82B6F" w:rsidR="00C82B6F">
              <w:rPr>
                <w:rFonts w:ascii="Times New Roman" w:hAnsi="Times New Roman"/>
                <w:sz w:val="24"/>
                <w:szCs w:val="24"/>
              </w:rPr>
              <w:t>,</w:t>
            </w:r>
            <w:r w:rsidRPr="00C82B6F" w:rsidR="004512D5">
              <w:rPr>
                <w:rFonts w:ascii="Times New Roman" w:hAnsi="Times New Roman"/>
                <w:sz w:val="24"/>
                <w:szCs w:val="24"/>
              </w:rPr>
              <w:t xml:space="preserve"> ortoepia</w:t>
            </w:r>
            <w:r w:rsidRPr="00C82B6F" w:rsidR="00C82B6F">
              <w:rPr>
                <w:rFonts w:ascii="Times New Roman" w:hAnsi="Times New Roman"/>
                <w:sz w:val="24"/>
                <w:szCs w:val="24"/>
              </w:rPr>
              <w:t xml:space="preserve"> și punctuația</w:t>
            </w:r>
            <w:r w:rsidRPr="00C82B6F" w:rsidR="00B5527C">
              <w:rPr>
                <w:rFonts w:ascii="Times New Roman" w:hAnsi="Times New Roman"/>
                <w:sz w:val="24"/>
                <w:szCs w:val="24"/>
              </w:rPr>
              <w:t xml:space="preserve"> limbii române </w:t>
            </w:r>
            <w:r w:rsidRPr="00C82B6F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363560" w:rsidR="00363560" w:rsidP="00363560" w:rsidRDefault="00363560" w14:paraId="720A1B3A" w14:textId="3770DD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 – Ortografie și Ortoepie</w:t>
            </w:r>
            <w:r w:rsidRPr="00F477A0" w:rsidR="004512D5">
              <w:rPr>
                <w:rFonts w:ascii="Times New Roman" w:hAnsi="Times New Roman"/>
                <w:sz w:val="24"/>
                <w:szCs w:val="24"/>
              </w:rPr>
              <w:t>,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 studenții ar trebui să fi dobândit anterior următoarele rezultate ale învățării:</w:t>
            </w:r>
          </w:p>
          <w:p w:rsidR="00363560" w:rsidP="00363560" w:rsidRDefault="00363560" w14:paraId="60527862" w14:textId="0502DC6B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foneticii, 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4512D5">
              <w:rPr>
                <w:rFonts w:ascii="Times New Roman" w:hAnsi="Times New Roman"/>
                <w:sz w:val="24"/>
                <w:szCs w:val="24"/>
              </w:rPr>
              <w:t>ortografiei</w:t>
            </w:r>
            <w:r w:rsidR="00C82B6F">
              <w:rPr>
                <w:rFonts w:ascii="Times New Roman" w:hAnsi="Times New Roman"/>
                <w:sz w:val="24"/>
                <w:szCs w:val="24"/>
              </w:rPr>
              <w:t>,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2B6F">
              <w:rPr>
                <w:rFonts w:ascii="Times New Roman" w:hAnsi="Times New Roman"/>
                <w:sz w:val="24"/>
                <w:szCs w:val="24"/>
              </w:rPr>
              <w:t>a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="004512D5">
              <w:rPr>
                <w:rFonts w:ascii="Times New Roman" w:hAnsi="Times New Roman"/>
                <w:sz w:val="24"/>
                <w:szCs w:val="24"/>
              </w:rPr>
              <w:t>ortoepiei</w:t>
            </w:r>
            <w:r w:rsidR="00C82B6F">
              <w:rPr>
                <w:rFonts w:ascii="Times New Roman" w:hAnsi="Times New Roman"/>
                <w:sz w:val="24"/>
                <w:szCs w:val="24"/>
              </w:rPr>
              <w:t xml:space="preserve"> și al punctuației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3560" w:rsidP="00363560" w:rsidRDefault="00363560" w14:paraId="5072A50A" w14:textId="3AFCBD84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 xml:space="preserve">Capacitatea de a recunoaște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elementele de 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fonetică, 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4512D5">
              <w:rPr>
                <w:rFonts w:ascii="Times New Roman" w:hAnsi="Times New Roman"/>
                <w:sz w:val="24"/>
                <w:szCs w:val="24"/>
              </w:rPr>
              <w:t>ortografie</w:t>
            </w:r>
            <w:r w:rsidR="00C82B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4512D5">
              <w:rPr>
                <w:rFonts w:ascii="Times New Roman" w:hAnsi="Times New Roman"/>
                <w:sz w:val="24"/>
                <w:szCs w:val="24"/>
              </w:rPr>
              <w:t>ortoepie</w:t>
            </w:r>
            <w:r w:rsidR="00C82B6F">
              <w:rPr>
                <w:rFonts w:ascii="Times New Roman" w:hAnsi="Times New Roman"/>
                <w:sz w:val="24"/>
                <w:szCs w:val="24"/>
              </w:rPr>
              <w:t xml:space="preserve"> și de punctuație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de a le folosi 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corect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în exprimarea orală și scrisă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3560" w:rsidP="00363560" w:rsidRDefault="00363560" w14:paraId="064DEFB9" w14:textId="50A1922A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Familiarizarea cu conceptele fundamentale ale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foneticii, 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ale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vocabularului</w:t>
            </w:r>
            <w:r w:rsidR="00372FCF">
              <w:rPr>
                <w:rFonts w:ascii="Times New Roman" w:hAnsi="Times New Roman"/>
                <w:sz w:val="24"/>
                <w:szCs w:val="24"/>
              </w:rPr>
              <w:t>, ale</w:t>
            </w:r>
            <w:r w:rsidR="004512D5">
              <w:rPr>
                <w:rFonts w:ascii="Times New Roman" w:hAnsi="Times New Roman"/>
                <w:sz w:val="24"/>
                <w:szCs w:val="24"/>
              </w:rPr>
              <w:t xml:space="preserve"> ortografiei și </w:t>
            </w:r>
            <w:r w:rsidR="00372FCF">
              <w:rPr>
                <w:rFonts w:ascii="Times New Roman" w:hAnsi="Times New Roman"/>
                <w:sz w:val="24"/>
                <w:szCs w:val="24"/>
              </w:rPr>
              <w:t xml:space="preserve">ale </w:t>
            </w:r>
            <w:r w:rsidR="004512D5">
              <w:rPr>
                <w:rFonts w:ascii="Times New Roman" w:hAnsi="Times New Roman"/>
                <w:sz w:val="24"/>
                <w:szCs w:val="24"/>
              </w:rPr>
              <w:t>ortoepiei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363560" w:rsidR="008421F0" w:rsidP="00363560" w:rsidRDefault="00363560" w14:paraId="03D86E87" w14:textId="18CD9FE0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C82B6F" w:rsidP="00C82B6F" w:rsidRDefault="00C82B6F" w14:paraId="26DC13F2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:rsidRPr="00FF1DB6" w:rsidR="00C82B6F" w:rsidP="00C82B6F" w:rsidRDefault="00C82B6F" w14:paraId="63F5F16B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1B74EC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B74EC">
              <w:rPr>
                <w:rFonts w:ascii="Times New Roman" w:hAnsi="Times New Roman"/>
                <w:sz w:val="24"/>
                <w:szCs w:val="24"/>
              </w:rPr>
              <w:t xml:space="preserve">de curs dotat corespunzător (tablă, ecran, videoproiector) și a unui spațiu de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>lucru digital integrat, accesibil tuturor studenților, pentru a susține învățarea colaborativă și schimbul de opinii în cadrul echipelor.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5E11F6" w:rsidR="00C82B6F" w:rsidP="00C82B6F" w:rsidRDefault="00C82B6F" w14:paraId="6D3B9326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:rsidRPr="001B74EC" w:rsidR="00C82B6F" w:rsidP="00C82B6F" w:rsidRDefault="00C82B6F" w14:paraId="21890D9F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74EC">
              <w:rPr>
                <w:rFonts w:ascii="Segoe UI" w:hAnsi="Segoe UI" w:cs="Segoe UI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Segoe UI" w:hAnsi="Segoe UI"/>
                <w:sz w:val="18"/>
                <w:szCs w:val="18"/>
                <w:lang w:eastAsia="ro-RO"/>
              </w:rPr>
              <w:t>b</w:t>
            </w:r>
            <w:r w:rsidRPr="001B74EC">
              <w:rPr>
                <w:rFonts w:ascii="Times New Roman" w:hAnsi="Times New Roman"/>
                <w:sz w:val="24"/>
                <w:szCs w:val="24"/>
              </w:rPr>
              <w:t>ibliografice editate și în format digital</w:t>
            </w:r>
          </w:p>
          <w:p w:rsidRPr="005E11F6" w:rsidR="00E20BD3" w:rsidP="00C82B6F" w:rsidRDefault="00C82B6F" w14:paraId="3202D18E" w14:textId="21DC4722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 xml:space="preserve">care să susțină dezvoltarea autonomiei în învățare și aplicarea practică a metodelor și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a teh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>nicilor studiate.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8C171E" w:rsidR="00F55DD0" w:rsidP="72AF893D" w:rsidRDefault="00372FCF" w14:paraId="0B95CF11" w14:textId="721AAC44">
      <w:pPr>
        <w:spacing w:after="0" w:line="278" w:lineRule="auto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72AF893D" w:rsidR="00372FCF">
        <w:rPr>
          <w:rFonts w:ascii="Times New Roman" w:hAnsi="Times New Roman"/>
          <w:color w:val="auto"/>
          <w:sz w:val="24"/>
          <w:szCs w:val="24"/>
        </w:rPr>
        <w:t>D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ezvoltarea competențelor studenților de a înțelege și 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 xml:space="preserve">de a 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>aplica strategii și tehnici variate de învățare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>,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 care să optimizeze </w:t>
      </w:r>
      <w:r w:rsidRPr="72AF893D" w:rsidR="00B5527C">
        <w:rPr>
          <w:rFonts w:ascii="Times New Roman" w:hAnsi="Times New Roman"/>
          <w:color w:val="auto"/>
          <w:sz w:val="24"/>
          <w:szCs w:val="24"/>
        </w:rPr>
        <w:t xml:space="preserve">dezvoltarea vocabularului </w:t>
      </w:r>
      <w:r w:rsidRPr="72AF893D" w:rsidR="004512D5">
        <w:rPr>
          <w:rFonts w:ascii="Times New Roman" w:hAnsi="Times New Roman"/>
          <w:color w:val="auto"/>
          <w:sz w:val="24"/>
          <w:szCs w:val="24"/>
        </w:rPr>
        <w:t xml:space="preserve">și exprimarea corectă 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la vârstele mici. Prin 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>studierea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>ace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>stei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 disciplin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>e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, studenții vor dobândi cunoștințe teoretice și abilități practice necesare pentru a sprijini </w:t>
      </w:r>
      <w:r w:rsidRPr="72AF893D" w:rsidR="00B5527C">
        <w:rPr>
          <w:rFonts w:ascii="Times New Roman" w:hAnsi="Times New Roman"/>
          <w:color w:val="auto"/>
          <w:sz w:val="24"/>
          <w:szCs w:val="24"/>
        </w:rPr>
        <w:t xml:space="preserve">dezvoltarea vocabularului </w:t>
      </w:r>
      <w:r w:rsidRPr="72AF893D" w:rsidR="004512D5">
        <w:rPr>
          <w:rFonts w:ascii="Times New Roman" w:hAnsi="Times New Roman"/>
          <w:color w:val="auto"/>
          <w:sz w:val="24"/>
          <w:szCs w:val="24"/>
        </w:rPr>
        <w:t xml:space="preserve">și exprimarea corectă a 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elevilor din învățământul primar și preșcolar, adaptând metodele la particularitățile și </w:t>
      </w:r>
      <w:r w:rsidRPr="72AF893D" w:rsidR="00372FCF">
        <w:rPr>
          <w:rFonts w:ascii="Times New Roman" w:hAnsi="Times New Roman"/>
          <w:color w:val="auto"/>
          <w:sz w:val="24"/>
          <w:szCs w:val="24"/>
        </w:rPr>
        <w:t xml:space="preserve">la </w:t>
      </w:r>
      <w:r w:rsidRPr="72AF893D" w:rsidR="00F55DD0">
        <w:rPr>
          <w:rFonts w:ascii="Times New Roman" w:hAnsi="Times New Roman"/>
          <w:color w:val="auto"/>
          <w:sz w:val="24"/>
          <w:szCs w:val="24"/>
        </w:rPr>
        <w:t xml:space="preserve">nevoile individuale ale acestora. </w:t>
      </w:r>
    </w:p>
    <w:p w:rsidR="00E05120" w:rsidP="008D0DB9" w:rsidRDefault="00E05120" w14:paraId="57946F55" w14:textId="77777777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Pr="00C7611C" w:rsidR="0091383B" w:rsidP="00D12241" w:rsidRDefault="000B3BD0" w14:paraId="581229AD" w14:textId="76613E09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199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7"/>
        <w:gridCol w:w="9459"/>
        <w:gridCol w:w="9459"/>
      </w:tblGrid>
      <w:tr w:rsidRPr="00C82B6F" w:rsidR="00372FCF" w:rsidTr="00372FCF" w14:paraId="44888664" w14:textId="77777777">
        <w:trPr>
          <w:cantSplit/>
          <w:trHeight w:val="19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459" w:type="dxa"/>
          </w:tcPr>
          <w:p w:rsidRPr="00C82B6F" w:rsidR="00372FCF" w:rsidP="00372FCF" w:rsidRDefault="00372FCF" w14:paraId="4C07584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fi capabil să:</w:t>
            </w:r>
          </w:p>
          <w:p w:rsidRPr="00C82B6F" w:rsidR="00372FCF" w:rsidP="00372FCF" w:rsidRDefault="00372FCF" w14:paraId="50D35AD6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B6F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Identifice principii/modele de instruire (predare/învățare/evaluare) și le adaptează domeniului educațional (elevi/situații/contexte)</w:t>
            </w:r>
          </w:p>
          <w:p w:rsidRPr="00C82B6F" w:rsidR="00372FCF" w:rsidP="00372FCF" w:rsidRDefault="00372FCF" w14:paraId="5750ADEA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Argumenteze potențialul formativ al strategiilor de instruire în context educațional</w:t>
            </w:r>
          </w:p>
          <w:p w:rsidRPr="00C82B6F" w:rsidR="00372FCF" w:rsidP="00372FCF" w:rsidRDefault="00372FCF" w14:paraId="4D2CD29B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Identifice și explică dificultățile de învățare ale copiilor/elevilor cunoscând teorii și modele de intervenție</w:t>
            </w:r>
          </w:p>
          <w:p w:rsidRPr="00C82B6F" w:rsidR="00372FCF" w:rsidP="00372FCF" w:rsidRDefault="00372FCF" w14:paraId="5DDCF819" w14:textId="4B987407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Analizeze diverse metode și tehnici de învățare și dezvoltare profesională continuă specifice domeniului științelor educației</w:t>
            </w:r>
          </w:p>
        </w:tc>
        <w:tc>
          <w:tcPr>
            <w:tcW w:w="9459" w:type="dxa"/>
          </w:tcPr>
          <w:p w:rsidRPr="00C82B6F" w:rsidR="00372FCF" w:rsidP="00372FCF" w:rsidRDefault="00372FCF" w14:paraId="373D44E3" w14:textId="1C03EE62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Pr="00C82B6F" w:rsidR="00372FCF" w:rsidTr="00372FCF" w14:paraId="110936E3" w14:textId="77777777">
        <w:trPr>
          <w:cantSplit/>
          <w:trHeight w:val="17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59" w:type="dxa"/>
          </w:tcPr>
          <w:p w:rsidRPr="00C82B6F" w:rsidR="00372FCF" w:rsidP="00372FCF" w:rsidRDefault="00372FCF" w14:paraId="32A803B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putea să:</w:t>
            </w:r>
          </w:p>
          <w:p w:rsidRPr="00C82B6F" w:rsidR="00372FCF" w:rsidP="00372FCF" w:rsidRDefault="00372FCF" w14:paraId="72A34EC8" w14:textId="7777777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Identifice nivelul achizițiilor elevilor utilizând metode adecvate și proiectează programe/activități adaptate/individualizate/personalizate</w:t>
            </w:r>
          </w:p>
          <w:p w:rsidRPr="00C82B6F" w:rsidR="00372FCF" w:rsidP="00372FCF" w:rsidRDefault="00372FCF" w14:paraId="7E123D8C" w14:textId="7777777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Utilizeze în mod creativ metode și mijloace didactice pentru o învățare eficientă</w:t>
            </w:r>
          </w:p>
          <w:p w:rsidRPr="00C82B6F" w:rsidR="00372FCF" w:rsidP="00372FCF" w:rsidRDefault="00372FCF" w14:paraId="1CD01D78" w14:textId="7777777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Aplice în mod creativ diverse modele de evaluare integrându-le strategic în activitatea didactică</w:t>
            </w:r>
          </w:p>
          <w:p w:rsidRPr="00C82B6F" w:rsidR="00372FCF" w:rsidP="00372FCF" w:rsidRDefault="00372FCF" w14:paraId="770756F0" w14:textId="7777777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Rezolve sarcini utilizând metode bazate pe colaborare în cadrul echipelor de lucru profesionale</w:t>
            </w:r>
          </w:p>
          <w:p w:rsidRPr="00C82B6F" w:rsidR="00372FCF" w:rsidP="00372FCF" w:rsidRDefault="00372FCF" w14:paraId="444A0050" w14:textId="77777777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9" w:type="dxa"/>
          </w:tcPr>
          <w:p w:rsidRPr="00C82B6F" w:rsidR="00372FCF" w:rsidP="00372FCF" w:rsidRDefault="00372FCF" w14:paraId="29893D81" w14:textId="0126B067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Pr="0007194F" w:rsidR="00372FCF" w:rsidTr="00372FCF" w14:paraId="22C94215" w14:textId="77777777">
        <w:trPr>
          <w:cantSplit/>
          <w:trHeight w:val="2329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Responsabilitate și autonomie</w:t>
            </w:r>
          </w:p>
        </w:tc>
        <w:tc>
          <w:tcPr>
            <w:tcW w:w="9459" w:type="dxa"/>
          </w:tcPr>
          <w:p w:rsidRPr="00C82B6F" w:rsidR="00372FCF" w:rsidP="00372FCF" w:rsidRDefault="00372FCF" w14:paraId="6F9F26E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demonstra capacitatea de a:</w:t>
            </w:r>
          </w:p>
          <w:p w:rsidRPr="00C82B6F" w:rsidR="00372FCF" w:rsidP="00372FCF" w:rsidRDefault="00372FCF" w14:paraId="47A5481C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Propune și implementa soluții adaptate dovedind responsabilitate pentru progresul/reușita elevilor</w:t>
            </w:r>
          </w:p>
          <w:p w:rsidRPr="00C82B6F" w:rsidR="00372FCF" w:rsidP="00372FCF" w:rsidRDefault="00372FCF" w14:paraId="2ACC374F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Își asuma responsabilitatea deciziilor pedagogice demonstrând capacitate de optimizare continuă</w:t>
            </w:r>
          </w:p>
          <w:p w:rsidRPr="00C82B6F" w:rsidR="00372FCF" w:rsidP="00372FCF" w:rsidRDefault="00372FCF" w14:paraId="7772A311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Realizează evaluarea copiilor/elevilor manifestând responsabilitate în utilizarea feedback-ului pentru asigurarea succesului școlar</w:t>
            </w:r>
          </w:p>
          <w:p w:rsidRPr="00C82B6F" w:rsidR="00372FCF" w:rsidP="00372FCF" w:rsidRDefault="00372FCF" w14:paraId="6194EA41" w14:textId="03E6CD6C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Respecta în mod constant normele de etică, de integritate academică și de conduită profesională</w:t>
            </w:r>
          </w:p>
        </w:tc>
        <w:tc>
          <w:tcPr>
            <w:tcW w:w="9459" w:type="dxa"/>
          </w:tcPr>
          <w:p w:rsidRPr="00C646BE" w:rsidR="00372FCF" w:rsidP="00372FCF" w:rsidRDefault="00372FCF" w14:paraId="4E90C458" w14:textId="65FACCEF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E07BEC" w14:paraId="2DDC2298" w14:textId="51527E8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E07BEC">
        <w:rPr>
          <w:rFonts w:ascii="Times New Roman" w:hAnsi="Times New Roman"/>
          <w:sz w:val="24"/>
          <w:szCs w:val="24"/>
        </w:rPr>
        <w:t>Predarea disciplinei „</w:t>
      </w:r>
      <w:r w:rsidR="00A51E3A">
        <w:rPr>
          <w:rFonts w:ascii="Times New Roman" w:hAnsi="Times New Roman"/>
          <w:sz w:val="24"/>
          <w:szCs w:val="24"/>
        </w:rPr>
        <w:t>Limba română</w:t>
      </w:r>
      <w:r w:rsidR="004512D5">
        <w:rPr>
          <w:rFonts w:ascii="Times New Roman" w:hAnsi="Times New Roman"/>
          <w:sz w:val="24"/>
          <w:szCs w:val="24"/>
        </w:rPr>
        <w:t xml:space="preserve"> – Ortografie și Ortoepie</w:t>
      </w:r>
      <w:r w:rsidRPr="00E07BEC">
        <w:rPr>
          <w:rFonts w:ascii="Times New Roman" w:hAnsi="Times New Roman"/>
          <w:sz w:val="24"/>
          <w:szCs w:val="24"/>
        </w:rPr>
        <w:t xml:space="preserve">” se va baza pe o combinație echilibrată între metode expozitive și interactive, adaptate nevoilor specifice ale studenților pentru a facilita dobândirea unor competențe practice aplicabile în procesul de învățare și </w:t>
      </w:r>
      <w:r w:rsidR="00372FCF">
        <w:rPr>
          <w:rFonts w:ascii="Times New Roman" w:hAnsi="Times New Roman"/>
          <w:sz w:val="24"/>
          <w:szCs w:val="24"/>
        </w:rPr>
        <w:t xml:space="preserve">de </w:t>
      </w:r>
      <w:r w:rsidRPr="00E07BEC">
        <w:rPr>
          <w:rFonts w:ascii="Times New Roman" w:hAnsi="Times New Roman"/>
          <w:sz w:val="24"/>
          <w:szCs w:val="24"/>
        </w:rPr>
        <w:t>pregătire pentru examene.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 xml:space="preserve">Metode expozitive: prelegeri susținute cu suport multimedia (prezentări PowerPoint, materiale video), care vor oferi cadrul teoretic necesar înțelegerii </w:t>
      </w:r>
      <w:r w:rsidR="00A51E3A">
        <w:rPr>
          <w:rFonts w:ascii="Times New Roman" w:hAnsi="Times New Roman"/>
          <w:sz w:val="24"/>
          <w:szCs w:val="24"/>
        </w:rPr>
        <w:t>noțiunilor de</w:t>
      </w:r>
      <w:r w:rsidR="004512D5">
        <w:rPr>
          <w:rFonts w:ascii="Times New Roman" w:hAnsi="Times New Roman"/>
          <w:sz w:val="24"/>
          <w:szCs w:val="24"/>
        </w:rPr>
        <w:t xml:space="preserve"> fonetică</w:t>
      </w:r>
      <w:r w:rsidR="00C82B6F">
        <w:rPr>
          <w:rFonts w:ascii="Times New Roman" w:hAnsi="Times New Roman"/>
          <w:sz w:val="24"/>
          <w:szCs w:val="24"/>
        </w:rPr>
        <w:t xml:space="preserve">, </w:t>
      </w:r>
      <w:r w:rsidR="00732459">
        <w:rPr>
          <w:rFonts w:ascii="Times New Roman" w:hAnsi="Times New Roman"/>
          <w:sz w:val="24"/>
          <w:szCs w:val="24"/>
        </w:rPr>
        <w:t xml:space="preserve">de </w:t>
      </w:r>
      <w:r w:rsidR="004512D5">
        <w:rPr>
          <w:rFonts w:ascii="Times New Roman" w:hAnsi="Times New Roman"/>
          <w:sz w:val="24"/>
          <w:szCs w:val="24"/>
        </w:rPr>
        <w:t>ortografie</w:t>
      </w:r>
      <w:r w:rsidR="00C82B6F">
        <w:rPr>
          <w:rFonts w:ascii="Times New Roman" w:hAnsi="Times New Roman"/>
          <w:sz w:val="24"/>
          <w:szCs w:val="24"/>
        </w:rPr>
        <w:t xml:space="preserve">, </w:t>
      </w:r>
      <w:r w:rsidR="00732459">
        <w:rPr>
          <w:rFonts w:ascii="Times New Roman" w:hAnsi="Times New Roman"/>
          <w:sz w:val="24"/>
          <w:szCs w:val="24"/>
        </w:rPr>
        <w:t xml:space="preserve">de </w:t>
      </w:r>
      <w:r w:rsidR="004512D5">
        <w:rPr>
          <w:rFonts w:ascii="Times New Roman" w:hAnsi="Times New Roman"/>
          <w:sz w:val="24"/>
          <w:szCs w:val="24"/>
        </w:rPr>
        <w:t>ortoepie</w:t>
      </w:r>
      <w:r w:rsidR="00C82B6F">
        <w:rPr>
          <w:rFonts w:ascii="Times New Roman" w:hAnsi="Times New Roman"/>
          <w:sz w:val="24"/>
          <w:szCs w:val="24"/>
        </w:rPr>
        <w:t xml:space="preserve"> și de punctuație</w:t>
      </w:r>
      <w:r w:rsidR="00A51E3A">
        <w:rPr>
          <w:rFonts w:ascii="Times New Roman" w:hAnsi="Times New Roman"/>
          <w:sz w:val="24"/>
          <w:szCs w:val="24"/>
        </w:rPr>
        <w:t xml:space="preserve">. </w:t>
      </w:r>
      <w:r w:rsidRP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practice: exerciții de</w:t>
      </w:r>
      <w:r w:rsidR="00A51E3A">
        <w:rPr>
          <w:rFonts w:ascii="Times New Roman" w:hAnsi="Times New Roman"/>
          <w:sz w:val="24"/>
          <w:szCs w:val="24"/>
        </w:rPr>
        <w:t xml:space="preserve"> îmbogățire a </w:t>
      </w:r>
      <w:r w:rsidR="00A51E3A">
        <w:rPr>
          <w:rFonts w:ascii="Times New Roman" w:hAnsi="Times New Roman"/>
          <w:sz w:val="24"/>
          <w:szCs w:val="24"/>
        </w:rPr>
        <w:lastRenderedPageBreak/>
        <w:t>vocabularului</w:t>
      </w:r>
      <w:r w:rsidRPr="00E07BEC">
        <w:rPr>
          <w:rFonts w:ascii="Times New Roman" w:hAnsi="Times New Roman"/>
          <w:sz w:val="24"/>
          <w:szCs w:val="24"/>
        </w:rPr>
        <w:t xml:space="preserve">, </w:t>
      </w:r>
      <w:r w:rsidR="00A51E3A">
        <w:rPr>
          <w:rFonts w:ascii="Times New Roman" w:hAnsi="Times New Roman"/>
          <w:sz w:val="24"/>
          <w:szCs w:val="24"/>
        </w:rPr>
        <w:t xml:space="preserve">exerciții de recunoaștere a noțiunilor de </w:t>
      </w:r>
      <w:r w:rsidR="004512D5">
        <w:rPr>
          <w:rFonts w:ascii="Times New Roman" w:hAnsi="Times New Roman"/>
          <w:sz w:val="24"/>
          <w:szCs w:val="24"/>
        </w:rPr>
        <w:t xml:space="preserve">fonetică </w:t>
      </w:r>
      <w:r w:rsidR="00A51E3A">
        <w:rPr>
          <w:rFonts w:ascii="Times New Roman" w:hAnsi="Times New Roman"/>
          <w:sz w:val="24"/>
          <w:szCs w:val="24"/>
        </w:rPr>
        <w:t>și de operare cu acestea,</w:t>
      </w:r>
      <w:r w:rsidRPr="00E07BEC">
        <w:rPr>
          <w:rFonts w:ascii="Times New Roman" w:hAnsi="Times New Roman"/>
          <w:sz w:val="24"/>
          <w:szCs w:val="24"/>
        </w:rPr>
        <w:t xml:space="preserve"> activități individuale și de grup.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Utilizarea platformelor digitale și a resurselor online</w:t>
      </w:r>
      <w:r w:rsidR="00732459">
        <w:rPr>
          <w:rFonts w:ascii="Times New Roman" w:hAnsi="Times New Roman"/>
          <w:sz w:val="24"/>
          <w:szCs w:val="24"/>
        </w:rPr>
        <w:t>,</w:t>
      </w:r>
      <w:r w:rsidRPr="00E07BEC">
        <w:rPr>
          <w:rFonts w:ascii="Times New Roman" w:hAnsi="Times New Roman"/>
          <w:sz w:val="24"/>
          <w:szCs w:val="24"/>
        </w:rPr>
        <w:t xml:space="preserve"> pentru accesarea materialelor suplimentare și realizarea unor activități asincrone</w:t>
      </w:r>
      <w:r w:rsidR="00732459">
        <w:rPr>
          <w:rFonts w:ascii="Times New Roman" w:hAnsi="Times New Roman"/>
          <w:sz w:val="24"/>
          <w:szCs w:val="24"/>
        </w:rPr>
        <w:t>,</w:t>
      </w:r>
      <w:r w:rsidRPr="00E07BEC">
        <w:rPr>
          <w:rFonts w:ascii="Times New Roman" w:hAnsi="Times New Roman"/>
          <w:sz w:val="24"/>
          <w:szCs w:val="24"/>
        </w:rPr>
        <w:t xml:space="preserve"> care să susțină procesul continuu de învățare.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Această diversitate metodologică urmărește nu doar transmiterea de cunoștințe, ci și dezvoltarea abilităților practice și a unei atitudini autonome și proactive față de procesul educațional.</w:t>
      </w:r>
    </w:p>
    <w:p w:rsidRPr="0082590B" w:rsidR="00E07BEC" w:rsidP="00E07BEC" w:rsidRDefault="00E07BEC" w14:paraId="31933B81" w14:textId="77777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C82B6F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C82B6F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C82B6F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0"/>
                <w:szCs w:val="20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inutul</w:t>
            </w:r>
          </w:p>
        </w:tc>
        <w:tc>
          <w:tcPr>
            <w:tcW w:w="857" w:type="dxa"/>
            <w:vAlign w:val="center"/>
          </w:tcPr>
          <w:p w:rsidRPr="00C82B6F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Nr. ore</w:t>
            </w:r>
          </w:p>
        </w:tc>
      </w:tr>
      <w:tr w:rsidRPr="00AD6760" w:rsidR="00D6045A" w:rsidTr="00B6475A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C82B6F" w:rsidR="00D6045A" w:rsidP="00D6045A" w:rsidRDefault="00D6045A" w14:paraId="70FBC42F" w14:textId="050B956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8399" w:type="dxa"/>
          </w:tcPr>
          <w:p w:rsidRPr="00C82B6F" w:rsidR="00D6045A" w:rsidP="00D6045A" w:rsidRDefault="004512D5" w14:paraId="05A240DB" w14:textId="77CEDA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/>
                <w:bCs/>
              </w:rPr>
              <w:t>Sistemul fonetic al limbii române</w:t>
            </w:r>
            <w:r w:rsidRPr="00C82B6F" w:rsidR="00732459">
              <w:rPr>
                <w:rFonts w:ascii="Times New Roman" w:hAnsi="Times New Roman"/>
                <w:bCs/>
              </w:rPr>
              <w:t xml:space="preserve">. </w:t>
            </w:r>
            <w:r w:rsidRPr="00C82B6F" w:rsidR="00C82B6F">
              <w:rPr>
                <w:rFonts w:ascii="Times New Roman" w:hAnsi="Times New Roman"/>
                <w:bCs/>
              </w:rPr>
              <w:t>Noutăți conform DOOM 3</w:t>
            </w:r>
          </w:p>
        </w:tc>
        <w:tc>
          <w:tcPr>
            <w:tcW w:w="857" w:type="dxa"/>
            <w:vAlign w:val="center"/>
          </w:tcPr>
          <w:p w:rsidRPr="00C82B6F" w:rsidR="00D6045A" w:rsidP="00D6045A" w:rsidRDefault="00A51E3A" w14:paraId="3C9EB5C0" w14:textId="42DCA2A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18ABA96D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748F843E" w14:textId="247DB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8399" w:type="dxa"/>
          </w:tcPr>
          <w:p w:rsidRPr="00C82B6F" w:rsidR="004512D5" w:rsidP="004512D5" w:rsidRDefault="004512D5" w14:paraId="40D13369" w14:textId="6D988A1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 w:eastAsia="Calibri"/>
                <w:bCs/>
              </w:rPr>
              <w:t xml:space="preserve">Principiile ortografiei actuale a limbii române 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34AE2AC5" w14:textId="7C224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389DF12A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0C8F769E" w14:textId="64E74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8399" w:type="dxa"/>
          </w:tcPr>
          <w:p w:rsidRPr="00C82B6F" w:rsidR="004512D5" w:rsidP="004512D5" w:rsidRDefault="002C72B0" w14:paraId="76C651D4" w14:textId="40338D20">
            <w:pPr>
              <w:jc w:val="both"/>
              <w:rPr>
                <w:rFonts w:ascii="Times New Roman" w:hAnsi="Times New Roman"/>
                <w:bCs/>
                <w:lang w:val="it-IT"/>
              </w:rPr>
            </w:pPr>
            <w:r w:rsidRPr="00C82B6F">
              <w:rPr>
                <w:rFonts w:ascii="Times New Roman" w:hAnsi="Times New Roman" w:eastAsia="Calibri"/>
                <w:bCs/>
              </w:rPr>
              <w:t>Semnele de ortografie şi de punctuaţie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313E2854" w14:textId="5B7E8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2CC7EA92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1E399926" w14:textId="3388C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8399" w:type="dxa"/>
          </w:tcPr>
          <w:p w:rsidRPr="00C82B6F" w:rsidR="004512D5" w:rsidP="004512D5" w:rsidRDefault="002C72B0" w14:paraId="22B505D2" w14:textId="5AE1D11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/>
                <w:bCs/>
              </w:rPr>
              <w:t>Aspecte ortografice ale părţilor de vorbire (articolul, substantivul, adjectivul)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15AD19EA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0CBD9111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0C7E9E3C" w14:textId="22901F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8399" w:type="dxa"/>
          </w:tcPr>
          <w:p w:rsidRPr="00C82B6F" w:rsidR="004512D5" w:rsidP="004512D5" w:rsidRDefault="002C72B0" w14:paraId="70892A4D" w14:textId="584E9E0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/>
                <w:bCs/>
              </w:rPr>
              <w:t>Aspecte ortografice ale părţilor de vorbire (pronumele, numeralul, verbul)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5928C940" w14:textId="68156A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63209E08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2277214C" w14:textId="23804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8399" w:type="dxa"/>
          </w:tcPr>
          <w:p w:rsidRPr="00C82B6F" w:rsidR="004512D5" w:rsidP="004512D5" w:rsidRDefault="002C72B0" w14:paraId="4F452B76" w14:textId="0421C76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 w:eastAsia="Calibri"/>
                <w:bCs/>
                <w:lang w:val="it-IT"/>
              </w:rPr>
              <w:t xml:space="preserve">Aspecte </w:t>
            </w:r>
            <w:r w:rsidRPr="00C82B6F">
              <w:rPr>
                <w:rFonts w:ascii="Times New Roman" w:hAnsi="Times New Roman"/>
                <w:bCs/>
              </w:rPr>
              <w:t>ortografice ale părţilor de vorbire (adverbul, conjuncţia, prepoziţia, interjecţia)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2BA13951" w14:textId="21D45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05C35370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0A267B95" w14:textId="7EB6A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8399" w:type="dxa"/>
          </w:tcPr>
          <w:p w:rsidRPr="00C82B6F" w:rsidR="004512D5" w:rsidP="004512D5" w:rsidRDefault="002C72B0" w14:paraId="015FB556" w14:textId="1EF49A2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2B6F">
              <w:rPr>
                <w:rFonts w:ascii="Times New Roman" w:hAnsi="Times New Roman" w:eastAsia="Calibri"/>
                <w:bCs/>
              </w:rPr>
              <w:t>Omofonele şi omografele. Accentul.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4FBC4C2E" w14:textId="29305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57D01962" w14:textId="77777777">
        <w:trPr>
          <w:jc w:val="center"/>
        </w:trPr>
        <w:tc>
          <w:tcPr>
            <w:tcW w:w="1271" w:type="dxa"/>
          </w:tcPr>
          <w:p w:rsidRPr="00C82B6F" w:rsidR="004512D5" w:rsidP="004512D5" w:rsidRDefault="004512D5" w14:paraId="525731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9" w:type="dxa"/>
          </w:tcPr>
          <w:p w:rsidRPr="00C82B6F" w:rsidR="004512D5" w:rsidP="004512D5" w:rsidRDefault="004512D5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Total:</w:t>
            </w:r>
          </w:p>
        </w:tc>
        <w:tc>
          <w:tcPr>
            <w:tcW w:w="857" w:type="dxa"/>
          </w:tcPr>
          <w:p w:rsidRPr="00C82B6F" w:rsidR="004512D5" w:rsidP="004512D5" w:rsidRDefault="004512D5" w14:paraId="664A9F59" w14:textId="02C2E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Pr="00AD6760" w:rsidR="004512D5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1F09AB" w:rsidR="004512D5" w:rsidP="004512D5" w:rsidRDefault="004512D5" w14:paraId="494D1DED" w14:textId="154E14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:rsidRPr="002C72B0" w:rsidR="002C72B0" w:rsidP="002C72B0" w:rsidRDefault="002C72B0" w14:paraId="60E7E748" w14:textId="67EDC534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1. Agache, Liliana, Dificultăți ale limbii române. Greșeli de scriere și vorbire, Ed. Pro Universitaria, București, 2018</w:t>
            </w:r>
          </w:p>
          <w:p w:rsidR="002C72B0" w:rsidP="002C72B0" w:rsidRDefault="002C72B0" w14:paraId="3BA09C55" w14:textId="77777777">
            <w:pPr>
              <w:pStyle w:val="Frspaiere"/>
              <w:rPr>
                <w:sz w:val="20"/>
                <w:szCs w:val="20"/>
              </w:rPr>
            </w:pPr>
            <w:r w:rsidRPr="002C72B0">
              <w:rPr>
                <w:sz w:val="20"/>
                <w:szCs w:val="20"/>
              </w:rPr>
              <w:t xml:space="preserve">2. Aranghelovici Cristiana – Îndreptar ortografic, ortoepic și morfologic al limbii române, conf DOOM </w:t>
            </w:r>
            <w:r w:rsidRPr="002C72B0">
              <w:rPr>
                <w:sz w:val="20"/>
                <w:szCs w:val="20"/>
                <w:vertAlign w:val="superscript"/>
              </w:rPr>
              <w:t>2</w:t>
            </w:r>
            <w:r w:rsidRPr="002C72B0">
              <w:rPr>
                <w:sz w:val="20"/>
                <w:szCs w:val="20"/>
              </w:rPr>
              <w:t xml:space="preserve"> , Ed. Saeculum IO. București, 2021</w:t>
            </w:r>
          </w:p>
          <w:p w:rsidRPr="002C72B0" w:rsidR="00BB0313" w:rsidP="002C72B0" w:rsidRDefault="00BB0313" w14:paraId="5C3B92C2" w14:textId="7EF34F6B">
            <w:pPr>
              <w:pStyle w:val="Frspaiere"/>
              <w:rPr>
                <w:sz w:val="20"/>
                <w:szCs w:val="20"/>
              </w:rPr>
            </w:pPr>
            <w:r>
              <w:rPr>
                <w:rFonts w:eastAsia="Corbel"/>
                <w:sz w:val="20"/>
                <w:szCs w:val="20"/>
                <w:shd w:val="clear" w:color="auto" w:fill="FFFFFF"/>
              </w:rPr>
              <w:t xml:space="preserve">3. 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Bucuroiu, Florentina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, Limba română contemporană. Aspecte de fonetică și vocabular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,  Editura Universității din Pitești, Pitești, 2008</w:t>
            </w:r>
          </w:p>
          <w:p w:rsidRPr="002C72B0" w:rsidR="002C72B0" w:rsidP="002C72B0" w:rsidRDefault="00BB0313" w14:paraId="1B9A474B" w14:textId="02E67B4F">
            <w:pPr>
              <w:pStyle w:val="Frspaier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C72B0" w:rsidR="002C72B0">
              <w:rPr>
                <w:sz w:val="20"/>
                <w:szCs w:val="20"/>
              </w:rPr>
              <w:t>.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. Dicţionarul ortografic, ortoepic şi morfologic al limbii române (DOOM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  <w:vertAlign w:val="superscript"/>
              </w:rPr>
              <w:t>3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), Ed. Univers Enciclopedic, Bucureşti, 2022</w:t>
            </w:r>
          </w:p>
          <w:p w:rsidRPr="002C72B0" w:rsidR="002C72B0" w:rsidP="002C72B0" w:rsidRDefault="00BB0313" w14:paraId="08ADB6A1" w14:textId="4C75E290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>
              <w:rPr>
                <w:rFonts w:eastAsia="Corbel"/>
                <w:sz w:val="20"/>
                <w:szCs w:val="20"/>
                <w:shd w:val="clear" w:color="auto" w:fill="FFFFFF"/>
              </w:rPr>
              <w:t>5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.. Croitor, Blanca, Dinică, Andreea, Dragomirescu, Adina et comp, Eşti COOL şi dacă vorbeşti corect, Editura Univers Enciclopedic, 2009</w:t>
            </w:r>
          </w:p>
          <w:p w:rsidRPr="002C72B0" w:rsidR="002C72B0" w:rsidP="002C72B0" w:rsidRDefault="00BB0313" w14:paraId="0B4402AD" w14:textId="4475EDA1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>
              <w:rPr>
                <w:rFonts w:eastAsia="Corbel"/>
                <w:sz w:val="20"/>
                <w:szCs w:val="20"/>
                <w:shd w:val="clear" w:color="auto" w:fill="FFFFFF"/>
              </w:rPr>
              <w:t>6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. Geantă, Adriana, Limba română actuală. Ortografie și ortoepie, ediția a II-a rev și adăug, Ed Casa Cărții de Știință, Cluj-Napoca, 2023</w:t>
            </w:r>
          </w:p>
          <w:p w:rsidRPr="002C72B0" w:rsidR="002C72B0" w:rsidP="002C72B0" w:rsidRDefault="00BB0313" w14:paraId="4B276590" w14:textId="17B01524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>
              <w:rPr>
                <w:rFonts w:eastAsia="Corbel"/>
                <w:sz w:val="20"/>
                <w:szCs w:val="20"/>
                <w:shd w:val="clear" w:color="auto" w:fill="FFFFFF"/>
              </w:rPr>
              <w:t>7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. Popa, Ion, Popa, Marinela, Îndrumător de scriere corectă. Cuvinte scrise cu cratimă, împreună sau separat. Ortograme, Editura Niculescu, Bucureşti, 2014</w:t>
            </w:r>
          </w:p>
          <w:p w:rsidRPr="00A51E3A" w:rsidR="004512D5" w:rsidP="002C72B0" w:rsidRDefault="00BB0313" w14:paraId="14F5496B" w14:textId="639ED2E9">
            <w:pPr>
              <w:pStyle w:val="Frspaiere"/>
              <w:rPr>
                <w:iCs/>
              </w:rPr>
            </w:pPr>
            <w:r>
              <w:rPr>
                <w:rFonts w:eastAsia="Corbel"/>
                <w:sz w:val="20"/>
                <w:szCs w:val="20"/>
                <w:shd w:val="clear" w:color="auto" w:fill="FFFFFF"/>
              </w:rPr>
              <w:t>8</w:t>
            </w:r>
            <w:r w:rsidRPr="002C72B0" w:rsidR="002C72B0">
              <w:rPr>
                <w:rFonts w:eastAsia="Corbel"/>
                <w:sz w:val="20"/>
                <w:szCs w:val="20"/>
                <w:shd w:val="clear" w:color="auto" w:fill="FFFFFF"/>
              </w:rPr>
              <w:t>. Ţibrian, Constantin, Elemente de fonetică şi fonologie, Editura Universităţii din Piteşti, 2009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C82B6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934FE3" w:rsidTr="00D77E99" w14:paraId="10F798F8" w14:textId="77777777">
        <w:trPr>
          <w:trHeight w:val="310"/>
          <w:jc w:val="center"/>
        </w:trPr>
        <w:tc>
          <w:tcPr>
            <w:tcW w:w="850" w:type="dxa"/>
          </w:tcPr>
          <w:p w:rsidRPr="00FB55B0" w:rsidR="00934FE3" w:rsidP="00934FE3" w:rsidRDefault="00934FE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:rsidRPr="00C82B6F" w:rsidR="00934FE3" w:rsidP="00934FE3" w:rsidRDefault="002C72B0" w14:paraId="33FD776F" w14:textId="5BD2C39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 xml:space="preserve">Identificarea diftongilor, triftongilor, hiatului. Identificarea valorilor fonetice ale lui „i”. Exerciţii de transcriere fonetică și de despărţire a cuvintelor în silabe.   </w:t>
            </w:r>
          </w:p>
        </w:tc>
        <w:tc>
          <w:tcPr>
            <w:tcW w:w="874" w:type="dxa"/>
            <w:vAlign w:val="center"/>
          </w:tcPr>
          <w:p w:rsidRPr="00CD3703" w:rsidR="00934FE3" w:rsidP="00934FE3" w:rsidRDefault="00934FE3" w14:paraId="1DDBB69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41A147A3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:rsidRPr="00C82B6F" w:rsidR="002C72B0" w:rsidP="002C72B0" w:rsidRDefault="002C72B0" w14:paraId="67CC1DCC" w14:textId="240202D1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Scrierea cu literă mică sau mare a cuvintelor. Scrierea cuvintelor derivate, compuse şi abreviate. Exerciţii lexicale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1CA003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C82B6F" w:rsidR="002C72B0" w:rsidP="002C72B0" w:rsidRDefault="002C72B0" w14:paraId="10FEC278" w14:textId="7CC0F97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Folosirea corectă a semnelor de ortografie şi punctuaţie. Exerciţii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18773775" w14:textId="6156A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C82B6F" w:rsidR="002C72B0" w:rsidP="002C72B0" w:rsidRDefault="002C72B0" w14:paraId="13A93FE3" w14:textId="20743D3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Ortografierea articolelor, substantivelor şi adjectivelor. Exerciţii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5F049B3D" w14:textId="14F2A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C82B6F" w:rsidR="002C72B0" w:rsidP="002C72B0" w:rsidRDefault="002C72B0" w14:paraId="5824CB1E" w14:textId="10E9045C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Ortografierea pronumelor, numeralelor şi verbelor. Exerciţii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169121EE" w14:textId="03AE5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64E74640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28B1FA6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C82B6F" w:rsidR="002C72B0" w:rsidP="002C72B0" w:rsidRDefault="002C72B0" w14:paraId="4EDFF5DE" w14:textId="565907F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Ortografierea adverbelor, prepoziţiilor, conjuncţiilor şi interjecţiilor. Exerciţii</w:t>
            </w:r>
          </w:p>
        </w:tc>
        <w:tc>
          <w:tcPr>
            <w:tcW w:w="874" w:type="dxa"/>
          </w:tcPr>
          <w:p w:rsidRPr="00CD3703" w:rsidR="002C72B0" w:rsidP="002C72B0" w:rsidRDefault="002C72B0" w14:paraId="00E82530" w14:textId="40F70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177EFEB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C82B6F" w:rsidR="002C72B0" w:rsidP="002C72B0" w:rsidRDefault="002C72B0" w14:paraId="7DFE5BEA" w14:textId="4F801E8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C82B6F">
              <w:rPr>
                <w:rFonts w:ascii="Times New Roman" w:hAnsi="Times New Roman"/>
              </w:rPr>
              <w:t>Exerciţii cu omografe şi omofone. Exerciţii cu accentul cuvintelor în limba română</w:t>
            </w:r>
          </w:p>
        </w:tc>
        <w:tc>
          <w:tcPr>
            <w:tcW w:w="874" w:type="dxa"/>
          </w:tcPr>
          <w:p w:rsidRPr="00CD3703" w:rsidR="002C72B0" w:rsidP="002C72B0" w:rsidRDefault="002C72B0" w14:paraId="22190B0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2C72B0" w:rsidP="002C72B0" w:rsidRDefault="002C72B0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2C72B0" w:rsidP="002C72B0" w:rsidRDefault="002C72B0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2C72B0" w:rsidP="002C72B0" w:rsidRDefault="002C72B0" w14:paraId="70BF3F5B" w14:textId="4FB4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2C72B0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="002C72B0" w:rsidP="002C72B0" w:rsidRDefault="002C72B0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Bibliografie:</w:t>
            </w:r>
          </w:p>
          <w:p w:rsidRPr="002C72B0" w:rsidR="002C72B0" w:rsidP="002C72B0" w:rsidRDefault="002C72B0" w14:paraId="3858859C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1. Bucuroiu, Florentina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, Limba română contemporană. Aspecte de fonetică și vocabular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,  Editura Universității din Pitești, Pitești, 2008</w:t>
            </w:r>
          </w:p>
          <w:p w:rsidRPr="002C72B0" w:rsidR="002C72B0" w:rsidP="002C72B0" w:rsidRDefault="002C72B0" w14:paraId="370A8D3C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2. Bucurenciu, Petru, Trifan, Olivia,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 xml:space="preserve">Limba română. Ortografie şi punctuaţie, 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 Ed. Aramis, Bucureşti, 2016</w:t>
            </w:r>
          </w:p>
          <w:p w:rsidRPr="002C72B0" w:rsidR="002C72B0" w:rsidP="002C72B0" w:rsidRDefault="002C72B0" w14:paraId="2AD90F4A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3. Constantinescu, Silviu,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Limba română. 500 erori de exprimare explicate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, Editura Carminis, Piteşti, 2007</w:t>
            </w:r>
          </w:p>
          <w:p w:rsidRPr="002C72B0" w:rsidR="002C72B0" w:rsidP="002C72B0" w:rsidRDefault="002C72B0" w14:paraId="642C5136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4. Geantă, Adriana,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Limba română actuală. Ortografie și ortoepie,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 ediția a II-a rev și adăug, Ed Casa Cărții de Știință, Cluj-Napoca, 2023</w:t>
            </w:r>
          </w:p>
          <w:p w:rsidRPr="002C72B0" w:rsidR="002C72B0" w:rsidP="002C72B0" w:rsidRDefault="002C72B0" w14:paraId="133481D3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5. Grigore, Adina,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Ortografia și punctuația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, Editura Ars Libri, Costești, 2017</w:t>
            </w:r>
          </w:p>
          <w:p w:rsidRPr="002C72B0" w:rsidR="002C72B0" w:rsidP="002C72B0" w:rsidRDefault="002C72B0" w14:paraId="60654322" w14:textId="77777777">
            <w:pPr>
              <w:pStyle w:val="Frspaiere"/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2C72B0">
              <w:rPr>
                <w:sz w:val="20"/>
                <w:szCs w:val="20"/>
              </w:rPr>
              <w:t xml:space="preserve">6. Pavel, C., Dumitrache, G., </w:t>
            </w:r>
            <w:r w:rsidRPr="002C72B0">
              <w:rPr>
                <w:i/>
                <w:sz w:val="20"/>
                <w:szCs w:val="20"/>
              </w:rPr>
              <w:t xml:space="preserve">700 de exerciții pentru fonetică și vocabular, </w:t>
            </w:r>
            <w:r w:rsidRPr="002C72B0">
              <w:rPr>
                <w:sz w:val="20"/>
                <w:szCs w:val="20"/>
              </w:rPr>
              <w:t>Editura Paralela 45, Pitești, 2007</w:t>
            </w:r>
          </w:p>
          <w:p w:rsidRPr="002C72B0" w:rsidR="002C72B0" w:rsidP="002C72B0" w:rsidRDefault="002C72B0" w14:paraId="5579AFC2" w14:textId="27CD5422">
            <w:pPr>
              <w:pStyle w:val="Frspaiere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 xml:space="preserve">7. Ungureanu, Elena,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</w:rPr>
              <w:t>Ghid de exprimare corectă în limba română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</w:rPr>
              <w:t>, E.D.P., Bucureşti, 2008</w:t>
            </w:r>
          </w:p>
          <w:p w:rsidRPr="002C6CDF" w:rsidR="002C72B0" w:rsidP="002C72B0" w:rsidRDefault="002C72B0" w14:paraId="54BBFB2E" w14:textId="260D659C">
            <w:pPr>
              <w:pStyle w:val="Frspaiere"/>
              <w:rPr>
                <w:iCs/>
              </w:rPr>
            </w:pPr>
            <w:r w:rsidRPr="002C72B0">
              <w:rPr>
                <w:rFonts w:eastAsia="Corbel"/>
                <w:sz w:val="20"/>
                <w:szCs w:val="20"/>
                <w:shd w:val="clear" w:color="auto" w:fill="FFFFFF"/>
                <w:lang w:val="it-IT"/>
              </w:rPr>
              <w:t xml:space="preserve">8. *** </w:t>
            </w:r>
            <w:r w:rsidRPr="002C72B0">
              <w:rPr>
                <w:rFonts w:eastAsia="Corbel"/>
                <w:i/>
                <w:sz w:val="20"/>
                <w:szCs w:val="20"/>
                <w:shd w:val="clear" w:color="auto" w:fill="FFFFFF"/>
                <w:lang w:val="it-IT"/>
              </w:rPr>
              <w:t>Dicţionarul ortografic, ortoepic şi morfologic al limbii române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  <w:lang w:val="it-IT"/>
              </w:rPr>
              <w:t xml:space="preserve"> (DOOM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  <w:vertAlign w:val="superscript"/>
                <w:lang w:val="it-IT"/>
              </w:rPr>
              <w:t>3</w:t>
            </w:r>
            <w:r w:rsidRPr="002C72B0">
              <w:rPr>
                <w:rFonts w:eastAsia="Corbel"/>
                <w:sz w:val="20"/>
                <w:szCs w:val="20"/>
                <w:shd w:val="clear" w:color="auto" w:fill="FFFFFF"/>
                <w:lang w:val="it-IT"/>
              </w:rPr>
              <w:t>), Editura Univers Enciclopedic, Bucureşti, 2022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F3314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07194F" w:rsidR="00BB0313" w:rsidTr="00B34B74" w14:paraId="74C75806" w14:textId="77777777">
        <w:trPr>
          <w:trHeight w:val="1932"/>
        </w:trPr>
        <w:tc>
          <w:tcPr>
            <w:tcW w:w="2682" w:type="dxa"/>
          </w:tcPr>
          <w:p w:rsidRPr="00BB0313" w:rsidR="00BB0313" w:rsidP="00BB0313" w:rsidRDefault="00BB031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:rsidRPr="00BB0313" w:rsidR="00BB0313" w:rsidP="00BB0313" w:rsidRDefault="00BB0313" w14:paraId="34374D1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48967BEC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:rsidRPr="00BB0313" w:rsidR="00BB0313" w:rsidP="00BB0313" w:rsidRDefault="00BB0313" w14:paraId="501CE88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1705B273" w14:textId="675281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vAlign w:val="center"/>
          </w:tcPr>
          <w:p w:rsidRPr="00BB0313" w:rsidR="00BB0313" w:rsidP="00BB0313" w:rsidRDefault="00BB0313" w14:paraId="509BAC5C" w14:textId="6BFF245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Probă scrisă</w:t>
            </w:r>
          </w:p>
        </w:tc>
        <w:tc>
          <w:tcPr>
            <w:tcW w:w="1891" w:type="dxa"/>
            <w:vAlign w:val="center"/>
          </w:tcPr>
          <w:p w:rsidRPr="00BB0313" w:rsidR="00BB0313" w:rsidP="00BB0313" w:rsidRDefault="00BB0313" w14:paraId="7F30234E" w14:textId="78E3ECA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B0313" w:rsidTr="00B34B74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BB0313" w:rsidR="00BB0313" w:rsidP="00BB0313" w:rsidRDefault="00BB0313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:rsidRPr="00BB0313" w:rsidR="00BB0313" w:rsidP="00BB0313" w:rsidRDefault="00BB0313" w14:paraId="7113A5B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19CA94CA" w14:textId="3FE27E1B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şi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aplica cunoştinţele teoretice</w:t>
            </w:r>
          </w:p>
          <w:p w:rsidRPr="00BB0313" w:rsidR="00BB0313" w:rsidP="00BB0313" w:rsidRDefault="00BB0313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6CF8B18C" w14:textId="43FD00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vAlign w:val="center"/>
          </w:tcPr>
          <w:p w:rsidRPr="00C779AC" w:rsidR="00BB0313" w:rsidP="00BB0313" w:rsidRDefault="00BB0313" w14:paraId="35577C7A" w14:textId="77777777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C779AC">
              <w:rPr>
                <w:iCs/>
                <w:sz w:val="24"/>
                <w:szCs w:val="24"/>
              </w:rPr>
              <w:t>Probe orale și scrise</w:t>
            </w:r>
          </w:p>
          <w:p w:rsidRPr="00BB0313" w:rsidR="00BB0313" w:rsidP="00BB0313" w:rsidRDefault="00BB0313" w14:paraId="1BC04238" w14:textId="11BF176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BB0313" w:rsidR="00BB0313" w:rsidP="00BB0313" w:rsidRDefault="00BB0313" w14:paraId="39B929A6" w14:textId="5618DA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B0313" w:rsidTr="00B34B74" w14:paraId="2B4116DF" w14:textId="77777777">
        <w:trPr>
          <w:trHeight w:val="135"/>
        </w:trPr>
        <w:tc>
          <w:tcPr>
            <w:tcW w:w="2682" w:type="dxa"/>
            <w:vMerge/>
          </w:tcPr>
          <w:p w:rsidRPr="00BB0313" w:rsidR="00BB0313" w:rsidP="00BB0313" w:rsidRDefault="00BB0313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:rsidRPr="00BB0313" w:rsidR="00BB0313" w:rsidP="00BB0313" w:rsidRDefault="00BB0313" w14:paraId="2D98452F" w14:textId="6DA4BD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:rsidRPr="00BB0313" w:rsidR="00BB0313" w:rsidP="00BB0313" w:rsidRDefault="00BB0313" w14:paraId="45A2E07C" w14:textId="1B9DFF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:rsidRPr="00BB0313" w:rsidR="00BB0313" w:rsidP="00BB0313" w:rsidRDefault="00BB0313" w14:paraId="148AC8AB" w14:textId="6A85F93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B0313" w:rsidTr="5B486057" w14:paraId="45DF9D34" w14:textId="77777777">
        <w:tc>
          <w:tcPr>
            <w:tcW w:w="10456" w:type="dxa"/>
            <w:gridSpan w:val="4"/>
          </w:tcPr>
          <w:p w:rsidRPr="00F4549C" w:rsidR="00BB0313" w:rsidP="00BB0313" w:rsidRDefault="00BB0313" w14:paraId="7B173F2D" w14:textId="0271C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Pr="0007194F" w:rsidR="00BB0313" w:rsidTr="5B486057" w14:paraId="61E018F6" w14:textId="77777777">
        <w:tc>
          <w:tcPr>
            <w:tcW w:w="10456" w:type="dxa"/>
            <w:gridSpan w:val="4"/>
          </w:tcPr>
          <w:p w:rsidRPr="00F4549C" w:rsidR="00BB0313" w:rsidP="00BB0313" w:rsidRDefault="00BB0313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391BB3" w:rsidP="00391BB3" w:rsidRDefault="002C6CDF" w14:paraId="6D7C7C8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</w:t>
            </w:r>
            <w:r w:rsidR="00391BB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GEANTĂ</w:t>
            </w:r>
          </w:p>
          <w:p w:rsidR="002C6CDF" w:rsidP="00391BB3" w:rsidRDefault="002C6CDF" w14:paraId="195C832E" w14:textId="58084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2C6CDF" w:rsidP="00391BB3" w:rsidRDefault="002C6CDF" w14:paraId="40DB0ACA" w14:textId="31401F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6703884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Adriana-Elena GEANTĂ</w:t>
            </w:r>
          </w:p>
          <w:p w:rsidR="002C6CDF" w:rsidP="002C6CDF" w:rsidRDefault="002C6CDF" w14:paraId="0D8F8D85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391BB3" w:rsidP="002C6CDF" w:rsidRDefault="00391BB3" w14:paraId="2E39C173" w14:textId="226C56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2109" w:rsidP="006B0230" w:rsidRDefault="00C72109" w14:paraId="06F4C301" w14:textId="77777777">
      <w:pPr>
        <w:spacing w:after="0" w:line="240" w:lineRule="auto"/>
      </w:pPr>
      <w:r>
        <w:separator/>
      </w:r>
    </w:p>
  </w:endnote>
  <w:endnote w:type="continuationSeparator" w:id="0">
    <w:p w:rsidR="00C72109" w:rsidP="006B0230" w:rsidRDefault="00C72109" w14:paraId="7BBF55F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7F92" w:rsidRDefault="00407F92" w14:paraId="015419B6" w14:textId="7777777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7F92" w:rsidRDefault="00407F92" w14:paraId="2EEAFC9A" w14:textId="7777777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7F92" w:rsidRDefault="00407F92" w14:paraId="4C6A7AC4" w14:textId="7777777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2109" w:rsidP="006B0230" w:rsidRDefault="00C72109" w14:paraId="7E755B8A" w14:textId="77777777">
      <w:pPr>
        <w:spacing w:after="0" w:line="240" w:lineRule="auto"/>
      </w:pPr>
      <w:r>
        <w:separator/>
      </w:r>
    </w:p>
  </w:footnote>
  <w:footnote w:type="continuationSeparator" w:id="0">
    <w:p w:rsidR="00C72109" w:rsidP="006B0230" w:rsidRDefault="00C72109" w14:paraId="48DF450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7F92" w:rsidRDefault="00407F92" w14:paraId="30CE004F" w14:textId="7777777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Pr="00504204" w:rsidR="00563549" w:rsidTr="1D8C40D1" w14:paraId="4A6CF620" w14:textId="77777777">
      <w:trPr>
        <w:trHeight w:val="998"/>
      </w:trPr>
      <w:tc>
        <w:tcPr>
          <w:tcW w:w="600" w:type="pct"/>
          <w:tcMar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tcMar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tcMar/>
          <w:vAlign w:val="center"/>
        </w:tcPr>
        <w:p w:rsidRPr="00504204" w:rsidR="00D27462" w:rsidP="00D27462" w:rsidRDefault="00353AA1" w14:paraId="1F52E6CC" w14:textId="2D331B23">
          <w:pPr>
            <w:pStyle w:val="Antet"/>
            <w:spacing w:after="0"/>
            <w:jc w:val="center"/>
          </w:pPr>
          <w:r w:rsidR="1D8C40D1">
            <w:drawing>
              <wp:inline wp14:editId="2554F5BA" wp14:anchorId="5FF80994">
                <wp:extent cx="742950" cy="704850"/>
                <wp:effectExtent l="0" t="0" r="0" b="0"/>
                <wp:docPr id="192540006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192540006" name=""/>
                        <pic:cNvPicPr/>
                      </pic:nvPicPr>
                      <pic:blipFill>
                        <a:blip xmlns:r="http://schemas.openxmlformats.org/officeDocument/2006/relationships" r:embed="rId1861100958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07F92" w:rsidRDefault="00407F92" w14:paraId="21134B3A" w14:textId="7777777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6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1"/>
  </w:num>
  <w:num w:numId="4" w16cid:durableId="824277224">
    <w:abstractNumId w:val="23"/>
  </w:num>
  <w:num w:numId="5" w16cid:durableId="1395470212">
    <w:abstractNumId w:val="16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2"/>
  </w:num>
  <w:num w:numId="9" w16cid:durableId="1415782996">
    <w:abstractNumId w:val="28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5"/>
  </w:num>
  <w:num w:numId="13" w16cid:durableId="589778944">
    <w:abstractNumId w:val="20"/>
  </w:num>
  <w:num w:numId="14" w16cid:durableId="283855198">
    <w:abstractNumId w:val="22"/>
  </w:num>
  <w:num w:numId="15" w16cid:durableId="727650862">
    <w:abstractNumId w:val="21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4"/>
  </w:num>
  <w:num w:numId="19" w16cid:durableId="222521144">
    <w:abstractNumId w:val="10"/>
  </w:num>
  <w:num w:numId="20" w16cid:durableId="1666738476">
    <w:abstractNumId w:val="26"/>
  </w:num>
  <w:num w:numId="21" w16cid:durableId="772676043">
    <w:abstractNumId w:val="7"/>
  </w:num>
  <w:num w:numId="22" w16cid:durableId="661348124">
    <w:abstractNumId w:val="29"/>
  </w:num>
  <w:num w:numId="23" w16cid:durableId="1415277359">
    <w:abstractNumId w:val="8"/>
  </w:num>
  <w:num w:numId="24" w16cid:durableId="2052487911">
    <w:abstractNumId w:val="27"/>
  </w:num>
  <w:num w:numId="25" w16cid:durableId="913392362">
    <w:abstractNumId w:val="18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3"/>
  </w:num>
  <w:num w:numId="29" w16cid:durableId="172377240">
    <w:abstractNumId w:val="19"/>
  </w:num>
  <w:num w:numId="30" w16cid:durableId="15044712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13988"/>
    <w:rsid w:val="00023CD4"/>
    <w:rsid w:val="00024FEB"/>
    <w:rsid w:val="00032DD1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3009"/>
    <w:rsid w:val="000A5A59"/>
    <w:rsid w:val="000B053A"/>
    <w:rsid w:val="000B1429"/>
    <w:rsid w:val="000B2711"/>
    <w:rsid w:val="000B3BD0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6B06"/>
    <w:rsid w:val="00140EB3"/>
    <w:rsid w:val="00155123"/>
    <w:rsid w:val="0015613E"/>
    <w:rsid w:val="001568A2"/>
    <w:rsid w:val="00161CC5"/>
    <w:rsid w:val="00182C22"/>
    <w:rsid w:val="001878E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D3204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6F7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2B0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301FF6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3560"/>
    <w:rsid w:val="00364359"/>
    <w:rsid w:val="00364C75"/>
    <w:rsid w:val="003665AD"/>
    <w:rsid w:val="003679B5"/>
    <w:rsid w:val="0037177D"/>
    <w:rsid w:val="00372FCF"/>
    <w:rsid w:val="003806E1"/>
    <w:rsid w:val="00391BB3"/>
    <w:rsid w:val="00391DFE"/>
    <w:rsid w:val="003A44E3"/>
    <w:rsid w:val="003B3669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990"/>
    <w:rsid w:val="00405D76"/>
    <w:rsid w:val="0040718D"/>
    <w:rsid w:val="00407F92"/>
    <w:rsid w:val="004144E3"/>
    <w:rsid w:val="00414517"/>
    <w:rsid w:val="0042161F"/>
    <w:rsid w:val="00421BC5"/>
    <w:rsid w:val="00426218"/>
    <w:rsid w:val="0043585E"/>
    <w:rsid w:val="00436AD6"/>
    <w:rsid w:val="00450A21"/>
    <w:rsid w:val="004512D5"/>
    <w:rsid w:val="00453037"/>
    <w:rsid w:val="004662C2"/>
    <w:rsid w:val="004671D0"/>
    <w:rsid w:val="00473190"/>
    <w:rsid w:val="00475A89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011A"/>
    <w:rsid w:val="004F426F"/>
    <w:rsid w:val="004F6CD3"/>
    <w:rsid w:val="005013E2"/>
    <w:rsid w:val="00502C98"/>
    <w:rsid w:val="00520480"/>
    <w:rsid w:val="00524180"/>
    <w:rsid w:val="00524B59"/>
    <w:rsid w:val="00530A49"/>
    <w:rsid w:val="00532F3D"/>
    <w:rsid w:val="00533EB9"/>
    <w:rsid w:val="00536B72"/>
    <w:rsid w:val="00563549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30381"/>
    <w:rsid w:val="00633533"/>
    <w:rsid w:val="00637494"/>
    <w:rsid w:val="00637B47"/>
    <w:rsid w:val="00640429"/>
    <w:rsid w:val="00640681"/>
    <w:rsid w:val="0065472F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DB0"/>
    <w:rsid w:val="00730CEE"/>
    <w:rsid w:val="00732459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588A"/>
    <w:rsid w:val="00897094"/>
    <w:rsid w:val="00897E4F"/>
    <w:rsid w:val="008A1E7A"/>
    <w:rsid w:val="008A7114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2B17"/>
    <w:rsid w:val="0095440B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C1184"/>
    <w:rsid w:val="009C137D"/>
    <w:rsid w:val="009C6E3E"/>
    <w:rsid w:val="009E5754"/>
    <w:rsid w:val="009E64C2"/>
    <w:rsid w:val="009E6519"/>
    <w:rsid w:val="009F003A"/>
    <w:rsid w:val="009F2776"/>
    <w:rsid w:val="009F3B07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2F6"/>
    <w:rsid w:val="00A36A0C"/>
    <w:rsid w:val="00A4486F"/>
    <w:rsid w:val="00A45D21"/>
    <w:rsid w:val="00A5014E"/>
    <w:rsid w:val="00A51E3A"/>
    <w:rsid w:val="00A528C7"/>
    <w:rsid w:val="00A637BC"/>
    <w:rsid w:val="00A64E8A"/>
    <w:rsid w:val="00A655E6"/>
    <w:rsid w:val="00A67126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7CC6"/>
    <w:rsid w:val="00BB0313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418A"/>
    <w:rsid w:val="00BE54B8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3B75"/>
    <w:rsid w:val="00C36E73"/>
    <w:rsid w:val="00C37AFA"/>
    <w:rsid w:val="00C424BD"/>
    <w:rsid w:val="00C55A79"/>
    <w:rsid w:val="00C57418"/>
    <w:rsid w:val="00C620EB"/>
    <w:rsid w:val="00C62788"/>
    <w:rsid w:val="00C62D93"/>
    <w:rsid w:val="00C646BE"/>
    <w:rsid w:val="00C72109"/>
    <w:rsid w:val="00C74CAA"/>
    <w:rsid w:val="00C74D28"/>
    <w:rsid w:val="00C7611C"/>
    <w:rsid w:val="00C766FA"/>
    <w:rsid w:val="00C82769"/>
    <w:rsid w:val="00C82B6F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8B6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4E3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1B06"/>
    <w:rsid w:val="00DA2503"/>
    <w:rsid w:val="00DA433D"/>
    <w:rsid w:val="00DA522E"/>
    <w:rsid w:val="00DB2E68"/>
    <w:rsid w:val="00DC2572"/>
    <w:rsid w:val="00DC450D"/>
    <w:rsid w:val="00DC67BF"/>
    <w:rsid w:val="00DD11B5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10FE"/>
    <w:rsid w:val="00F054FF"/>
    <w:rsid w:val="00F07F35"/>
    <w:rsid w:val="00F10524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54F4"/>
    <w:rsid w:val="00F90C98"/>
    <w:rsid w:val="00F9613F"/>
    <w:rsid w:val="00F972C4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1A6"/>
    <w:rsid w:val="00FE136D"/>
    <w:rsid w:val="00FF00D9"/>
    <w:rsid w:val="00FF2C91"/>
    <w:rsid w:val="00FF530D"/>
    <w:rsid w:val="0CCE3A71"/>
    <w:rsid w:val="0DA33D69"/>
    <w:rsid w:val="136E1F19"/>
    <w:rsid w:val="1B82A3CE"/>
    <w:rsid w:val="1D8C40D1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2AF893D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media/image1.png" Id="rId1" /><Relationship Type="http://schemas.openxmlformats.org/officeDocument/2006/relationships/image" Target="/media/image2.png" Id="rId186110095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8C4F2311-4762-4C1E-97CE-D640ADA41622}"/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>FLORENTINA BUCUROIU (139069)</lastModifiedBy>
  <revision>155</revision>
  <dcterms:created xsi:type="dcterms:W3CDTF">2024-03-11T12:36:00.0000000Z</dcterms:created>
  <dcterms:modified xsi:type="dcterms:W3CDTF">2025-09-25T15:53:11.2211220Z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